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>
      <w:pPr>
        <w:snapToGrid w:val="0"/>
        <w:spacing w:after="156" w:afterLines="50" w:line="600" w:lineRule="exact"/>
        <w:jc w:val="center"/>
        <w:rPr>
          <w:rFonts w:ascii="方正小标宋_GBK" w:hAnsi="宋体" w:eastAsia="方正小标宋_GBK" w:cs="宋体"/>
          <w:spacing w:val="-1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spacing w:val="-10"/>
          <w:kern w:val="0"/>
          <w:sz w:val="36"/>
          <w:szCs w:val="36"/>
        </w:rPr>
        <w:t>江苏省两化融合网络信息安全示范企业申报表</w:t>
      </w:r>
    </w:p>
    <w:tbl>
      <w:tblPr>
        <w:tblStyle w:val="4"/>
        <w:tblW w:w="903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541"/>
        <w:gridCol w:w="1560"/>
        <w:gridCol w:w="2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企业名称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600" w:lineRule="exac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两化融合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贯标试点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ind w:firstLine="280" w:firstLineChars="10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国家级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省级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sym w:font="Wingdings" w:char="F0A8"/>
            </w:r>
          </w:p>
          <w:p>
            <w:pPr>
              <w:snapToGrid w:val="0"/>
              <w:spacing w:before="156" w:beforeLines="50" w:after="156" w:afterLines="50"/>
              <w:ind w:firstLine="280" w:firstLineChars="10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评定时间：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试点服务机构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600" w:lineRule="exac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试点工作概况（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试点企业填写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（主要填写：试点时间、对象范围、简要过程、经费投入、工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控系统和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网络信息系统安全风险评估、加固措施、人员培训、网络信息安全管理责任制度建立与落实、《工业控制系统信息安全防护指南》和《工业控制系统信息安全事件应急管理工作指南》落实等）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已开展网络信息安全工作情况（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非试点企业填写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（主要填写：企业用于生产经营等业务的工控系统和网络信息系统的数量、名称及用途；企业网络信息系统与工控系统的联接情况，已采取的网络信息安全保障措施、应急管理策略和人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才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技术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支撑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；网络信息安全管理责任制建立与落实，及《工业控制系统信息安全防护指南》和《工业控制系统信息安全事件应急管理工作指南》落实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情况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；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工控系统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和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网络信息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系统安全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风险评估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主要成效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（主要填写：取得的成果、产生的主要效益等）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市（县）信息化主管部门推荐意见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i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ind w:right="42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552D"/>
    <w:rsid w:val="346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2017-09-26T03:09:00Z</dcterms:created>
  <dc:creator>Administrator</dc:creator>
  <cp:lastModifiedBy>Administrator</cp:lastModifiedBy>
  <dcterms:modified xsi:type="dcterms:W3CDTF">2017-09-26T03:09:18Z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