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64" w:rsidRPr="005A6364" w:rsidRDefault="005A6364" w:rsidP="005A6364">
      <w:pPr>
        <w:widowControl/>
        <w:spacing w:line="480" w:lineRule="auto"/>
        <w:jc w:val="center"/>
        <w:rPr>
          <w:rFonts w:ascii="仿宋" w:eastAsia="仿宋" w:hAnsi="仿宋" w:cs="Times New Roman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各市（区）经信委（局）、姑苏区经科局、工业园区科信局、高新区经发局，各有关单位：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现将省经信委、省住建厅《关于组织申报第十批省级建筑业企业技术中心的通知》（苏经信科技〔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>2017〕749</w:t>
      </w: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号）转发给你们，请你们根据省通知要求，认真做好审核把关和推荐工作，有关事项通知如下：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>1.省级建筑业企业技术中心的遴选和推荐，由各地经信部门会同当地住建部门负责。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>2.按照属地原则，各地经信部门会同当地住建部门对企业的申报材料进行认真审核，择优择强推荐。于11月10日前，将企业申报材料（2份）加盖当地经信部门和住建部门公章后报送市经信委科技与质量处，评价数据表电子版一并报送。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>3.申报</w:t>
      </w: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企业应具备省通知要求的基本条件，并按要求制作材料。业务咨询和材料报送请联系当地经信部门：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昆山市经信委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57017936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张家港市经信委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56729023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常熟市经信委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51530329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太仓市经信委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53572327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吴江区经信委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63982173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吴中区经信局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65254889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相城区经信局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85182083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姑苏区经科局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68727612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工业园区科信局（中小中心）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66681670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lastRenderedPageBreak/>
        <w:t>高新区经发局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68750945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苏州市经信委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68616211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附件：省经信委、省住建厅《关于组织申报第十批省级建筑业企业技术中心的通知》（苏经信科技〔</w:t>
      </w: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>2017〕749</w:t>
      </w: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号）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                        </w:t>
      </w:r>
      <w:r w:rsidRPr="005A6364">
        <w:rPr>
          <w:rFonts w:ascii="ΟGB2312" w:eastAsia="ΟGB2312" w:hAnsi="仿宋" w:cs="Times New Roman" w:hint="eastAsia"/>
          <w:color w:val="000000"/>
          <w:spacing w:val="-4"/>
          <w:sz w:val="28"/>
          <w:szCs w:val="28"/>
        </w:rPr>
        <w:t>苏州市经信委</w:t>
      </w:r>
    </w:p>
    <w:p w:rsidR="005A6364" w:rsidRPr="005A6364" w:rsidRDefault="005A6364" w:rsidP="005A6364">
      <w:pPr>
        <w:widowControl/>
        <w:spacing w:line="480" w:lineRule="auto"/>
        <w:ind w:firstLine="645"/>
        <w:jc w:val="center"/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</w:pPr>
      <w:r w:rsidRPr="005A6364">
        <w:rPr>
          <w:rFonts w:ascii="仿宋" w:eastAsia="仿宋" w:hAnsi="仿宋" w:cs="Times New Roman" w:hint="eastAsia"/>
          <w:color w:val="000000"/>
          <w:spacing w:val="-4"/>
          <w:sz w:val="32"/>
          <w:szCs w:val="32"/>
        </w:rPr>
        <w:t xml:space="preserve">                         2017年10月30日</w:t>
      </w:r>
    </w:p>
    <w:p w:rsidR="00BD3453" w:rsidRDefault="00BD3453"/>
    <w:sectPr w:rsidR="00BD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453" w:rsidRDefault="00BD3453" w:rsidP="005A6364">
      <w:r>
        <w:separator/>
      </w:r>
    </w:p>
  </w:endnote>
  <w:endnote w:type="continuationSeparator" w:id="1">
    <w:p w:rsidR="00BD3453" w:rsidRDefault="00BD3453" w:rsidP="005A6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Ο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453" w:rsidRDefault="00BD3453" w:rsidP="005A6364">
      <w:r>
        <w:separator/>
      </w:r>
    </w:p>
  </w:footnote>
  <w:footnote w:type="continuationSeparator" w:id="1">
    <w:p w:rsidR="00BD3453" w:rsidRDefault="00BD3453" w:rsidP="005A6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364"/>
    <w:rsid w:val="005A6364"/>
    <w:rsid w:val="00BD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3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2017-11-07T03:12:00Z</dcterms:created>
  <dcterms:modified xsi:type="dcterms:W3CDTF">2017-11-07T03:12:00Z</dcterms:modified>
</cp:coreProperties>
</file>